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NW_26633 (Nordrhein-Westfalen)</w:t>
      </w:r>
    </w:p>
    <w:p>
      <w:r>
        <w:rPr>
          <w:color w:val="555555"/>
          <w:sz w:val="18"/>
        </w:rPr>
        <w:t xml:space="preserve">Verordnung über die grundbuchmäßige Behandlung der Waldgenossenschaften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Gemeinschaftsgrundbücher und Anteilgrundbücher sind solche nach § 42 Absatz 1 und 2 des Gemeinschaftswaldgesetzes vom 8. April 1975 (GV. NRW. S. 304) in der jeweils geltenden Fassung.</w:t>
      </w:r>
    </w:p>
    <w:p>
      <w:r>
        <w:rPr>
          <w:color w:val="555555"/>
          <w:sz w:val="17"/>
        </w:rPr>
        <w:t xml:space="preserve">Zitiervorschlag: § 1 NW_26633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