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NW_26630 (Nordrhein-Westfalen)</w:t>
      </w:r>
    </w:p>
    <w:p>
      <w:r>
        <w:rPr>
          <w:color w:val="555555"/>
          <w:sz w:val="18"/>
        </w:rPr>
        <w:t xml:space="preserve">Verordnung zur Durchführung des Artikels 4 des Zustimmungsgesetzes zum deutsch-niederländischen Ausgleichsvertrag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Grunddienstbarkeiten des niederländischen Rechts (erfdienstbaarheden) gelten die Vorschriften der §§ 1013 bis 1029 BGB.</w:t>
      </w:r>
    </w:p>
    <w:p>
      <w:r>
        <w:t xml:space="preserve">(2) Zur Erhaltung ihrer Wirksamkeit gegenüber dem öffentlichen Glauben des Grundbuchs bedürfen sie nicht der Eintragung. Die Eintragung hat jedoch zu erfolgen, wenn der Berechtigte oder der Eigentümer sie verlangen.</w:t>
      </w:r>
    </w:p>
    <w:p>
      <w:r>
        <w:t xml:space="preserve">(3) Bei der Zwangsversteigerung des Grundstücks auf dem sie ruhen, bleiben sie auch dann bestehen, wenn sie bei der Feststellung des geringsten Gebotes nicht berücksichtigt sind.</w:t>
      </w:r>
    </w:p>
    <w:p>
      <w:r>
        <w:rPr>
          <w:color w:val="555555"/>
          <w:sz w:val="17"/>
        </w:rPr>
        <w:t xml:space="preserve">Zitiervorschlag: § 34 NW_26630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https://recht.nulegal.eu/gesetze/NW_26630/34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