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NW_26630 (Nordrhein-Westfalen)</w:t>
      </w:r>
    </w:p>
    <w:p>
      <w:r>
        <w:rPr>
          <w:color w:val="555555"/>
          <w:sz w:val="18"/>
        </w:rPr>
        <w:t xml:space="preserve">Verordnung zur Durchführung des Artikels 4 des Zustimmungsgesetzes zum deutsch-niederländischen Ausgleichsvertrag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Grundrenten niederländischen Rechts (grondrenten) werden je nach ihrem Inhalt in Reallasten (§§ 1105 bis 1112 BGB) oder Rentenschulden (§§ 1199 bis 1203 BGB) übergeleitet.</w:t>
      </w:r>
    </w:p>
    <w:p>
      <w:r>
        <w:t xml:space="preserve">(2) Das Grundbuchamt hat vor Eintragung in das anzulegende Grundbuch den Beteiligten Gelegenheit zur Stellungnahme zu geben.</w:t>
      </w:r>
    </w:p>
    <w:p>
      <w:r>
        <w:t xml:space="preserve">(3) Höhe und Währung der bisherigen Grundrenten bleiben unverändert bestehen.</w:t>
      </w:r>
    </w:p>
    <w:p>
      <w:r>
        <w:rPr>
          <w:color w:val="555555"/>
          <w:sz w:val="17"/>
        </w:rPr>
        <w:t xml:space="preserve">Zitiervorschlag: § 33 NW_26630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https://recht.nulegal.eu/gesetze/NW_26630/33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