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NW_26629 (Nordrhein-Westfalen)</w:t>
      </w:r>
    </w:p>
    <w:p>
      <w:r>
        <w:rPr>
          <w:color w:val="555555"/>
          <w:sz w:val="18"/>
        </w:rPr>
        <w:t xml:space="preserve">Verordnung über die Ermächtigung des Justizministers zum Erlaß von Rechtsverordnungen zum deutsch- niederländischen Ausgleichsvertrag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Artikel 4 Abs. 1 des Bundesgesetzes vom 10. Juni 1963 der Landesregierung erteilte Ermächtigung zum Erlaß von Rechtsverordnungen wird auf den Justizminister übertragen.</w:t>
      </w:r>
    </w:p>
    <w:p>
      <w:r>
        <w:rPr>
          <w:color w:val="555555"/>
          <w:sz w:val="17"/>
        </w:rPr>
        <w:t xml:space="preserve">Zitiervorschlag: § 1 NW_26629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https://recht.nulegal.eu/gesetze/NW_26629/1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