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NW_26624 (Nordrhein-Westfalen)</w:t>
      </w:r>
    </w:p>
    <w:p>
      <w:r>
        <w:rPr>
          <w:color w:val="555555"/>
          <w:sz w:val="18"/>
        </w:rPr>
        <w:t xml:space="preserve">Erlaß des Ministerpräsidenten über die Ausübung des Rechts der Begnadigung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November 1951</w:t>
      </w:r>
    </w:p>
    <w:p>
      <w:r>
        <w:t xml:space="preserve">Auf Grund des Artikels 59 der Verfassung des Landes Nordrhein-Westfalen bestimme ich über die Ausübung des mir zustehenden Rechts der Begnadigung folgendes:</w:t>
      </w:r>
    </w:p>
    <w:p>
      <w:r>
        <w:rPr>
          <w:color w:val="555555"/>
          <w:sz w:val="17"/>
        </w:rPr>
        <w:t xml:space="preserve">Zitiervorschlag: Volltext NW_26624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https://recht.nulegal.eu/gesetze/NW_26624/volltext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