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NW_26624 (Nordrhein-Westfalen)</w:t>
      </w:r>
    </w:p>
    <w:p>
      <w:r>
        <w:rPr>
          <w:color w:val="555555"/>
          <w:sz w:val="18"/>
        </w:rPr>
        <w:t xml:space="preserve">Erlaß des Ministerpräsidenten über die Ausübung des Rechts der Begnadigung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Ich übertrage das Recht, ehemaligen Beamten und ihren Hinterbliebenen einen Unterhaltsbeitrag oder eine Unterstützung weiterzugewähren, die ich durch eine Gnadenentscheidung auf Zeit gewährt habe, den in Artikel 2 Ziff. 4 bestimmten Stellen.</w:t>
      </w:r>
    </w:p>
    <w:p>
      <w:r>
        <w:rPr>
          <w:color w:val="555555"/>
          <w:sz w:val="17"/>
        </w:rPr>
        <w:t xml:space="preserve">Zitiervorschlag: Art 4 NW_26624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https://recht.nulegal.eu/gesetze/NW_26624/4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NW_26624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