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NW_26624 (Nordrhein-Westfalen)</w:t>
      </w:r>
    </w:p>
    <w:p>
      <w:r>
        <w:rPr>
          <w:color w:val="555555"/>
          <w:sz w:val="18"/>
        </w:rPr>
        <w:t xml:space="preserve">Erlaß des Ministerpräsidenten über die Ausübung des Rechts der Begnadigung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Ich behalte mir die Entscheidungen in den Gnadensachen vor, die zum Gegenstand haben:</w:t>
      </w:r>
    </w:p>
    <w:p>
      <w:r>
        <w:t xml:space="preserve">1. lebenslange Zuchthausstrafen,</w:t>
      </w:r>
    </w:p>
    <w:p>
      <w:r>
        <w:t xml:space="preserve">2. Strafen, die vom Oberlandesgericht im ersten Rechtszug wegen Hochverrats, Staatsgefährdung oder Landesverrats verhängt sind,</w:t>
      </w:r>
    </w:p>
    <w:p>
      <w:r>
        <w:t xml:space="preserve">3. den Verlust oder die Aberkennung der Fähigkeit zur Bekleidung öffentlicher Ämter, wenn der Verurteilte Beamter war,</w:t>
      </w:r>
    </w:p>
    <w:p>
      <w:r>
        <w:t xml:space="preserve">4. den Amts- und Ruhegehaltsverlust, der als beamtenrechtliche oder amtsrechtliche Folge einer strafgerichtlichen Verurteilung eingetreten ist,</w:t>
      </w:r>
    </w:p>
    <w:p>
      <w:r>
        <w:t xml:space="preserve">5. Disziplinarmaßnahmen, soweit auf Entlassung, Entfernung aus dem Dienst oder Amt oder auf Aberkennung des Ruhegehalts erkannt worden ist,</w:t>
      </w:r>
    </w:p>
    <w:p>
      <w:r>
        <w:t xml:space="preserve">6. die ehrengerichtliche Maßnahme der Ausschließung aus der Rechtsanwaltschaft oder dem anwaltlichen Anwärterdienst.</w:t>
      </w:r>
    </w:p>
    <w:p>
      <w:r>
        <w:rPr>
          <w:color w:val="555555"/>
          <w:sz w:val="17"/>
        </w:rPr>
        <w:t xml:space="preserve">Zitiervorschlag: Art 1 NW_26624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https://recht.nulegal.eu/gesetze/NW_26624/1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