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NW_26617 (Nordrhein-Westfalen) — Gliederung</w:t>
      </w:r>
    </w:p>
    <w:p>
      <w:r>
        <w:rPr>
          <w:color w:val="555555"/>
          <w:sz w:val="18"/>
        </w:rPr>
        <w:t xml:space="preserve">Verordnung über die Errichtung der Fachhochschule für Rechtspflege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Fachhochschule für Rechtspflege gliedert sich in die Fachbereiche</w:t>
      </w:r>
    </w:p>
    <w:p>
      <w:r>
        <w:t xml:space="preserve">Rechtspflege</w:t>
      </w:r>
    </w:p>
    <w:p>
      <w:r>
        <w:t xml:space="preserve">Strafvollzug</w:t>
      </w:r>
    </w:p>
    <w:p>
      <w:r>
        <w:rPr>
          <w:color w:val="555555"/>
          <w:sz w:val="17"/>
        </w:rPr>
        <w:t xml:space="preserve">Zitiervorschlag: § 2 NW_26617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https://recht.nulegal.eu/gesetze/NW_26617/2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