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NW_26617 (Nordrhein-Westfalen) — Errichtung</w:t>
      </w:r>
    </w:p>
    <w:p>
      <w:r>
        <w:rPr>
          <w:color w:val="555555"/>
          <w:sz w:val="18"/>
        </w:rPr>
        <w:t xml:space="preserve">Verordnung über die Errichtung der Fachhochschule für Rechtspflege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Ausbildung von Beamten des gehobenen Justizdienstes und des gehobenen Vollzugs- und Verwaltungsdienstes wird die Fachhochschule für Rechtspflege mit dem Sitz in Bad Münstereifel errichtet.</w:t>
      </w:r>
    </w:p>
    <w:p>
      <w:r>
        <w:rPr>
          <w:color w:val="555555"/>
          <w:sz w:val="17"/>
        </w:rPr>
        <w:t xml:space="preserve">Zitiervorschlag: § 1 NW_26617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https://recht.nulegal.eu/gesetze/NW_26617/1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