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NW_26613 (Nordrhein-Westfalen)</w:t>
      </w:r>
    </w:p>
    <w:p>
      <w:r>
        <w:rPr>
          <w:color w:val="555555"/>
          <w:sz w:val="18"/>
        </w:rPr>
        <w:t xml:space="preserve">Verordnung über die Ermittlungspersonen der Staatsanwaltschaft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April 1996</w:t>
      </w:r>
    </w:p>
    <w:p>
      <w:r>
        <w:t xml:space="preserve">Aufgrund des § 152 Abs. 2 Satz 1 des Gerichtsverfassungsgesetzes in der Fassung der Bekanntmachung vom 9. Mai 1975 (BGBl. S. 1077), zuletzt geändert durch Artikel 2 des Gesetzes zur Rechtsvereinheitlichung der Sicherungsverwahrung vom 16. Juni 1995 (BGBl. I S. 818), wird verordnet:</w:t>
      </w:r>
    </w:p>
    <w:p>
      <w:r>
        <w:rPr>
          <w:color w:val="555555"/>
          <w:sz w:val="17"/>
        </w:rPr>
        <w:t xml:space="preserve">Zitiervorschlag: Volltext NW_26613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https://recht.nulegal.eu/gesetze/NW_26613/volltext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