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NW_26613 (Nordrhein-Westfalen)</w:t>
      </w:r>
    </w:p>
    <w:p>
      <w:r>
        <w:rPr>
          <w:color w:val="555555"/>
          <w:sz w:val="18"/>
        </w:rPr>
        <w:t xml:space="preserve">Verordnung über die Ermittlungspersonen der Staatsanwaltschaft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Unberührt bleibt die Bestellung zu Ermittlungspersonen der Staatsanwaltschaft kraft Gesetzes.</w:t>
      </w:r>
    </w:p>
    <w:p>
      <w:r>
        <w:rPr>
          <w:color w:val="555555"/>
          <w:sz w:val="17"/>
        </w:rPr>
        <w:t xml:space="preserve">Zitiervorschlag: § 2 NW_26613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https://recht.nulegal.eu/gesetze/NW_26613/2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