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NW_26611 (Nordrhein-Westfalen) — Berichtspflicht</w:t>
      </w:r>
    </w:p>
    <w:p>
      <w:r>
        <w:rPr>
          <w:color w:val="555555"/>
          <w:sz w:val="18"/>
        </w:rPr>
        <w:t xml:space="preserve">Verordnung über die Bestimmung der Verwaltungsbeamten für die Ausschüsse nach § 40 Abs. 2 des Gerichtsverfassungsgesetzes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Innenministerium berichtet der Landesregierung bis Ende 2009 über die Notwendigkeit und Zweckmäßigkeit der einzelnen Regelungen.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NW_26611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https://recht.nulegal.eu/gesetze/NW_26611/2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