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NW_26609 (Nordrhein-Westfalen)</w:t>
      </w:r>
    </w:p>
    <w:p>
      <w:r>
        <w:rPr>
          <w:color w:val="555555"/>
          <w:sz w:val="18"/>
        </w:rPr>
        <w:t xml:space="preserve">Verordnung über die Zuständigkeit für Feststellungen nach § 31 des Einführungsgesetzes zum Gerichtsverfassungsgesetz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Feststellungen nach § 31 des Einführungsgesetzes zum Gerichtsverfassungsgesetz trifft der Justizminister.</w:t>
      </w:r>
    </w:p>
    <w:p>
      <w:r>
        <w:rPr>
          <w:color w:val="555555"/>
          <w:sz w:val="17"/>
        </w:rPr>
        <w:t xml:space="preserve">Zitiervorschlag: § 1 NW_26609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https://recht.nulegal.eu/gesetze/NW_26609/1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