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NW_26559 (Nordrhein-Westfalen)</w:t>
      </w:r>
    </w:p>
    <w:p>
      <w:r>
        <w:rPr>
          <w:color w:val="555555"/>
          <w:sz w:val="18"/>
        </w:rPr>
        <w:t xml:space="preserve">Zweites Gesetz zur Änderung der Organisation der ordentlichen Gerichtsbarkeit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Hückeswagen und Radevormwald scheiden mit Ablauf des 30. September 1976 aus dem Bezirk des Amtsgerichts Remscheid-Lennep aus. Sie werden ab 1. Oktober 1976 dem Amtsgericht Wipperfürth zugeordnet.</w:t>
      </w:r>
    </w:p>
    <w:p>
      <w:r>
        <w:t xml:space="preserve">(2) Das Amtsgericht Remscheid-Lennep wird mit Ablauf des 31. Dezember 1976 aufgehoben. Die kreisfreie Stadt Remscheid wird ab 1. Januar 1977 mit ihrem gesamten Gebiet dem Amtsgericht Remscheid zugeordnet.</w:t>
      </w:r>
    </w:p>
    <w:p>
      <w:r>
        <w:rPr>
          <w:color w:val="555555"/>
          <w:sz w:val="17"/>
        </w:rPr>
        <w:t xml:space="preserve">Zitiervorschlag: § 3 NW_26559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https://recht.nulegal.eu/gesetze/NW_26559/3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