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NW_26548 (Nordrhein-Westfalen)</w:t>
      </w:r>
    </w:p>
    <w:p>
      <w:r>
        <w:rPr>
          <w:color w:val="555555"/>
          <w:sz w:val="18"/>
        </w:rPr>
        <w:t xml:space="preserve">Abkommen zwischen den Ländern Baden-Württemberg, Hessen, Nordrhein-Westfalen und Rheinland-Pfalz über die Gliederung der Schiffahrtsgerichtsbezirke im Rheinstromgebiet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bis zum 30. Juni 1954 anhängig werdenden Binnenschiffahrts- und Rheinschiffahrtssachen verbleibt es bei der bisherigen Zuständigkeit.</w:t>
      </w:r>
    </w:p>
    <w:p>
      <w:r>
        <w:rPr>
          <w:color w:val="555555"/>
          <w:sz w:val="17"/>
        </w:rPr>
        <w:t xml:space="preserve">Zitiervorschlag: Art 3 NW_26548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https://recht.nulegal.eu/gesetze/NW_26548/3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