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IV NW_26545 (Nordrhein-Westfalen)</w:t>
      </w:r>
    </w:p>
    <w:p>
      <w:r>
        <w:rPr>
          <w:color w:val="555555"/>
          <w:sz w:val="18"/>
        </w:rPr>
        <w:t xml:space="preserve">Staatsvertrag zwischen den Ländern Nordrhein-Westfalen und Hessen über die Führung des Binnenschiffsregisters und des Schiffsbauregisters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Vertrag kann von jedem der Vertragsschließenden mit einer Frist von drei Monaten gekündigt werden.</w:t>
      </w:r>
    </w:p>
    <w:p>
      <w:r>
        <w:t xml:space="preserve">Düsseldorf, den 11. März 1953.</w:t>
      </w:r>
    </w:p>
    <w:p>
      <w:r>
        <w:t xml:space="preserve">Der Justizminister</w:t>
      </w:r>
    </w:p>
    <w:p>
      <w:r>
        <w:t xml:space="preserve">des Landes Nordrhein-Westfalen:</w:t>
      </w:r>
    </w:p>
    <w:p>
      <w:r>
        <w:t xml:space="preserve">Dr. Amelunxen.</w:t>
      </w:r>
    </w:p>
    <w:p>
      <w:r>
        <w:t xml:space="preserve">Wiesbaden, den 20. Februar 1953.</w:t>
      </w:r>
    </w:p>
    <w:p>
      <w:r>
        <w:t xml:space="preserve">Der Hessische Ministerpräsident:</w:t>
      </w:r>
    </w:p>
    <w:p>
      <w:r>
        <w:t xml:space="preserve">Zinn.</w:t>
      </w:r>
    </w:p>
    <w:p>
      <w:r>
        <w:rPr>
          <w:color w:val="555555"/>
          <w:sz w:val="17"/>
        </w:rPr>
        <w:t xml:space="preserve">Zitiervorschlag: Art IV NW_26545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https://recht.nulegal.eu/gesetze/NW_26545/iv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