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II NW_26545 (Nordrhein-Westfalen)</w:t>
      </w:r>
    </w:p>
    <w:p>
      <w:r>
        <w:rPr>
          <w:color w:val="555555"/>
          <w:sz w:val="18"/>
        </w:rPr>
        <w:t xml:space="preserve">Staatsvertrag zwischen den Ländern Nordrhein-Westfalen und Hessen über die Führung des Binnenschiffsregisters und des Schiffsbauregisters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Eine Kostenerstattung findet nicht statt.</w:t>
      </w:r>
    </w:p>
    <w:p>
      <w:r>
        <w:rPr>
          <w:color w:val="555555"/>
          <w:sz w:val="17"/>
        </w:rPr>
        <w:t xml:space="preserve">Zitiervorschlag: Art II NW_26545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https://recht.nulegal.eu/gesetze/NW_26545/ii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