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NW_26537 (Nordrhein-Westfalen)</w:t>
      </w:r>
    </w:p>
    <w:p>
      <w:r>
        <w:rPr>
          <w:color w:val="555555"/>
          <w:sz w:val="18"/>
        </w:rPr>
        <w:t xml:space="preserve">Verordnung zur Bestimmung der lebens- oder verteidigungswichtigen Einrichtungen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November 1995</w:t>
      </w:r>
    </w:p>
    <w:p>
      <w:r>
        <w:t xml:space="preserve">Aufgrund des § 2 Satz 4 des Gesetzes über die Voraussetzungen und das Verfahren von Sicherheitsüberprüfungen des Landes Nordrhein-Westfalen (Sicherheitsüberprüfungsgesetz Nordrhein-Westfalen - SÜG NW -) vom 7. März 1995 (GV. NW. S. 210) wird im Einvernehmen mit dem Innenminister verordnet:</w:t>
      </w:r>
    </w:p>
    <w:p>
      <w:r>
        <w:rPr>
          <w:color w:val="555555"/>
          <w:sz w:val="17"/>
        </w:rPr>
        <w:t xml:space="preserve">Zitiervorschlag: Volltext NW_26537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https://recht.nulegal.eu/gesetze/NW_26537/volltext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