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NW_26534 (Nordrhein-Westfalen)</w:t>
      </w:r>
    </w:p>
    <w:p>
      <w:r>
        <w:rPr>
          <w:color w:val="555555"/>
          <w:sz w:val="18"/>
        </w:rPr>
        <w:t xml:space="preserve">Gesetz zur Bereinigung des als Landesrecht fortgeltenden ehemaligen Reichsrechts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der Aufhebung (§ 1 Abs. 1) ausgenommen sind</w:t>
      </w:r>
    </w:p>
    <w:p>
      <w:r>
        <w:t xml:space="preserve">1. Staatsverträge und Abkommen einschließlich der zu ihrer Inkraftsetzung ergangenen Vorschriften,</w:t>
      </w:r>
    </w:p>
    <w:p>
      <w:r>
        <w:t xml:space="preserve">2. Satzungen öffentlich-rechtlicher Körperschaften, Anstalten und Stiftungen.</w:t>
      </w:r>
    </w:p>
    <w:p>
      <w:r>
        <w:rPr>
          <w:color w:val="555555"/>
          <w:sz w:val="17"/>
        </w:rPr>
        <w:t xml:space="preserve">Zitiervorschlag: § 4 NW_26534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