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NW_26534 (Nordrhein-Westfalen)</w:t>
      </w:r>
    </w:p>
    <w:p>
      <w:r>
        <w:rPr>
          <w:color w:val="555555"/>
          <w:sz w:val="18"/>
        </w:rPr>
        <w:t xml:space="preserve">Gesetz zur Bereinigung des als Landesrecht fortgeltenden ehemaligen Reichsrechts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Reichsrechtliche Vorschriften, die nach Artikel 123 Abs. 1 und Artikel 125 des Grundgesetzes für die Bundesrepublik Deutschland als Landesrecht fortgelten und nicht in die Anlage I zu diesem Gesetz aufgenommen sind, treten außer Kraft. Das gleiche gilt für nicht aufgenommene Teile solcher Rechtsvorschriften.</w:t>
      </w:r>
    </w:p>
    <w:p>
      <w:r>
        <w:t xml:space="preserve">(2) Durch die Aufnahme in die Anlage I wird eine ungültige Vorschrift nicht gültig.</w:t>
      </w:r>
    </w:p>
    <w:p>
      <w:r>
        <w:t xml:space="preserve">(3) Die Anlage I wird als Sonderband des Gesetz- und Verordnungsblattes des Landes Nordrhein-Westfalen herausgegeben.</w:t>
      </w:r>
    </w:p>
    <w:p>
      <w:r>
        <w:rPr>
          <w:color w:val="555555"/>
          <w:sz w:val="17"/>
        </w:rPr>
        <w:t xml:space="preserve">Zitiervorschlag: § 1 NW_26534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https://recht.nulegal.eu/gesetze/NW_26534/1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