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NW_26533 (Nordrhein-Westfalen)</w:t>
      </w:r>
    </w:p>
    <w:p>
      <w:r>
        <w:rPr>
          <w:color w:val="555555"/>
          <w:sz w:val="18"/>
        </w:rPr>
        <w:t xml:space="preserve">Gesetz zur Bereinigung des in Nordrhein-Westfalen geltenden preußischen Rechts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der Aufhebung (§ 1 Abs. 1) ausgenommen sind</w:t>
      </w:r>
    </w:p>
    <w:p>
      <w:r>
        <w:t xml:space="preserve">1. Rechtsvorschriften, die den im Gesetz- und Verordnungsblatt (GV. NW.) und der Sammlung des bereinigten Landesrechts für das Land Nordrhein-Westfalen (GS. NW.) veröffentlichten Neubekanntmachungen zugrunde liegen.</w:t>
      </w:r>
    </w:p>
    <w:p>
      <w:r>
        <w:t xml:space="preserve">2. Rechtsvorschriften, die Rechtsvorschriften aus der Zeit vor dem 1. Januar 1806 lediglich abändern, ergänzen oder einführen,</w:t>
      </w:r>
    </w:p>
    <w:p>
      <w:r>
        <w:t xml:space="preserve">3. Rechtsvorschriften über die Änderung der Grenzen von Gemeinden und Kreisen,</w:t>
      </w:r>
    </w:p>
    <w:p>
      <w:r>
        <w:t xml:space="preserve">4. Staatsverträge und Abkommen einschließlich der zu ihrer Inkraftsetzung ergangenen Vorschriften,</w:t>
      </w:r>
    </w:p>
    <w:p>
      <w:r>
        <w:t xml:space="preserve">5. Satzungen öffentlich-rechtlicher Körperschaften, Anstalten und Stiftungen,</w:t>
      </w:r>
    </w:p>
    <w:p>
      <w:r>
        <w:t xml:space="preserve">6. Rechtsvorschriften, die die Beziehungen zwischen Staat und Kirchen regeln (staatskirchenrechtliche Vorschriften).</w:t>
      </w:r>
    </w:p>
    <w:p>
      <w:r>
        <w:rPr>
          <w:color w:val="555555"/>
          <w:sz w:val="17"/>
        </w:rPr>
        <w:t xml:space="preserve">Zitiervorschlag: § 4 NW_26533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