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NW_26532 (Nordrhein-Westfalen) — Sonstige Verbote</w:t>
      </w:r>
    </w:p>
    <w:p>
      <w:r>
        <w:rPr>
          <w:color w:val="555555"/>
          <w:sz w:val="18"/>
        </w:rPr>
        <w:t xml:space="preserve">Bekanntmachung der Neufassung des Gesetzes über die Sonn- und Feiertage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Am Gründonnerstag ist ab 18 Uhr öffentlicher Tanz verboten.</w:t>
      </w:r>
    </w:p>
    <w:p>
      <w:r>
        <w:t xml:space="preserve">(2) Auf den Vorabend des Weihnachtstages finden ab 16 Uhr § 5 Abs. 1 Buchstabe a und § 6 Abs. 1 sinngemäß Anwendung.</w:t>
      </w:r>
    </w:p>
    <w:p>
      <w:r>
        <w:rPr>
          <w:color w:val="555555"/>
          <w:sz w:val="17"/>
        </w:rPr>
        <w:t xml:space="preserve">Zitiervorschlag: § 7 NW_26532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