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NW_26532 (Nordrhein-Westfalen) — Allgemeines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Sonntage und die Feiertage werden nach Maßgabe dieses Gesetzes geschützt.</w:t>
      </w:r>
    </w:p>
    <w:p>
      <w:r>
        <w:t xml:space="preserve">(2) Der Feiertagsschutz gilt von Mitternacht bis Mitternacht, soweit im einzelnen nicht etwas Abweichendes bestimmt ist.</w:t>
      </w:r>
    </w:p>
    <w:p>
      <w:r>
        <w:rPr>
          <w:color w:val="555555"/>
          <w:sz w:val="17"/>
        </w:rPr>
        <w:t xml:space="preserve">Zitiervorschlag: § 1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