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NW_26531 (Nordrhein-Westfalen)</w:t>
      </w:r>
    </w:p>
    <w:p>
      <w:r>
        <w:rPr>
          <w:color w:val="555555"/>
          <w:sz w:val="18"/>
        </w:rPr>
        <w:t xml:space="preserve">Gesetz über den Verdienstorden des Landes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Erweist sich der Ordensinhaber durch sein Verhalten, insbesondere durch Begehen einer Straftat, der Auszeichnung unwürdig oder wird ein solches Verhalten nachträglich bekannt, so kann der Ministerpräsident die Verleihung widerrufen.</w:t>
      </w:r>
    </w:p>
    <w:p>
      <w:r>
        <w:t xml:space="preserve">Das Ordenszeichen und die Verleihungsurkunde sind in diesem Fall zurückzugeben.</w:t>
      </w:r>
    </w:p>
    <w:p>
      <w:r>
        <w:rPr>
          <w:color w:val="555555"/>
          <w:sz w:val="17"/>
        </w:rPr>
        <w:t xml:space="preserve">Zitiervorschlag: § 7 NW_26531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https://recht.nulegal.eu/gesetze/NW_26531/7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