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NW_26531 (Nordrhein-Westfalen)</w:t>
      </w:r>
    </w:p>
    <w:p>
      <w:r>
        <w:rPr>
          <w:color w:val="555555"/>
          <w:sz w:val="18"/>
        </w:rPr>
        <w:t xml:space="preserve">Gesetz über den Verdienstorden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Verdienstorden wird durch den Ministerpräsidenten verliehen. Der Ministerpräsident und der Präsident des Landtags sind Inhaber des Verdienstordens.</w:t>
      </w:r>
    </w:p>
    <w:p>
      <w:r>
        <w:t xml:space="preserve">(2) Vorschlagsberechtigt für den Landtag ist der Präsident des Landtags.</w:t>
      </w:r>
    </w:p>
    <w:p>
      <w:r>
        <w:t xml:space="preserve">(3) Vorschlagsberechtigt sind für ihre Geschäftsbereiche die Mitglieder der Landesregierung.</w:t>
      </w:r>
    </w:p>
    <w:p>
      <w:r>
        <w:rPr>
          <w:color w:val="555555"/>
          <w:sz w:val="17"/>
        </w:rPr>
        <w:t xml:space="preserve">Zitiervorschlag: § 4 NW_26531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https://recht.nulegal.eu/gesetze/NW_26531/4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