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NW_26531 (Nordrhein-Westfalen)</w:t>
      </w:r>
    </w:p>
    <w:p>
      <w:r>
        <w:rPr>
          <w:color w:val="555555"/>
          <w:sz w:val="18"/>
        </w:rPr>
        <w:t xml:space="preserve">Gesetz über den Verdienstorden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Ordenszeichen hat die Form des Malteserkreuzes. Das Mittelstück ist ein rundes, silbern umrandetes Medaillon, das auf der Vorderseite das Landeswappen aufweist.</w:t>
      </w:r>
    </w:p>
    <w:p>
      <w:r>
        <w:t xml:space="preserve">(2) Das Ordenskreuz wird als Steckkreuz auf der linken unteren Brustseite getragen. Anstelle des Ordenskreuzes kann eine grün-weiß-rote Rosette auf der linken oberen Brustseite getragen werden.</w:t>
      </w:r>
    </w:p>
    <w:p>
      <w:r>
        <w:rPr>
          <w:color w:val="555555"/>
          <w:sz w:val="17"/>
        </w:rPr>
        <w:t xml:space="preserve">Zitiervorschlag: § 3 NW_26531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