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NW_26530 (Nordrhein-Westfalen)</w:t>
      </w:r>
    </w:p>
    <w:p>
      <w:r>
        <w:rPr>
          <w:color w:val="555555"/>
          <w:sz w:val="18"/>
        </w:rPr>
        <w:t xml:space="preserve">Beflaggungsverordnung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29. November 1984</w:t>
      </w:r>
    </w:p>
    <w:p>
      <w:r>
        <w:t xml:space="preserve">Auf Grund des Absatzes 3 des Gesetzes über das öffentliche Flaggen vom 10. März 1953 (GS. NW. S. 144), zuletzt geändert durch Gesetz vom 26. Juni 1984 (GV. NW. S. 370), wird im Einvernehmen mit dem Ausschuß für Innere Verwaltung des Landtags verordnet:</w:t>
      </w:r>
    </w:p>
    <w:p>
      <w:r>
        <w:rPr>
          <w:color w:val="555555"/>
          <w:sz w:val="17"/>
        </w:rPr>
        <w:t xml:space="preserve">Zitiervorschlag: Volltext NW_26530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https://recht.nulegal.eu/gesetze/NW_26530/volltext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