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Schlussformel NW_26527 (Nordrhein-Westfalen)</w:t>
      </w:r>
    </w:p>
    <w:p>
      <w:r>
        <w:rPr>
          <w:color w:val="555555"/>
          <w:sz w:val="18"/>
        </w:rPr>
        <w:t xml:space="preserve">Verordnung über die Führung des Landeswappens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Innenminister</w:t>
      </w:r>
    </w:p>
    <w:p>
      <w:r>
        <w:t xml:space="preserve">des Landes Nordrhein-Westfalen</w:t>
      </w:r>
    </w:p>
    <w:p>
      <w:r>
        <w:rPr>
          <w:color w:val="555555"/>
          <w:sz w:val="17"/>
        </w:rPr>
        <w:t xml:space="preserve">Zitiervorschlag: Schlussformel NW_26527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https://recht.nulegal.eu/gesetze/NW_26527/schlussformel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Schlussformel NW_26527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