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NW_26527 (Nordrhein-Westfalen)</w:t>
      </w:r>
    </w:p>
    <w:p>
      <w:r>
        <w:rPr>
          <w:color w:val="555555"/>
          <w:sz w:val="18"/>
        </w:rPr>
        <w:t xml:space="preserve">Verordnung über die Führung des Landeswappens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Mai 1956</w:t>
      </w:r>
    </w:p>
    <w:p>
      <w:r>
        <w:t xml:space="preserve">Auf Grund des § 5 des Gesetzes über die Landesfarben, das Landeswappen und die Landesflagge vom 10. März 1953 (GV. NW. S. 219) wird verordnet:</w:t>
      </w:r>
    </w:p>
    <w:p>
      <w:r>
        <w:rPr>
          <w:color w:val="555555"/>
          <w:sz w:val="17"/>
        </w:rPr>
        <w:t xml:space="preserve">Zitiervorschlag: Eingangsformel NW_26527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