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NW_26527 (Nordrhein-Westfalen)</w:t>
      </w:r>
    </w:p>
    <w:p>
      <w:r>
        <w:rPr>
          <w:color w:val="555555"/>
          <w:sz w:val="18"/>
        </w:rPr>
        <w:t xml:space="preserve">Verordnung über die Führung des Landeswappens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dem vierzehnten Tage nach Ausgabe der die Verkündung enthaltenden Nummer des Gesetz- und Verordnungsblattes in Kraft.</w:t>
      </w:r>
    </w:p>
    <w:p>
      <w:r>
        <w:rPr>
          <w:color w:val="555555"/>
          <w:sz w:val="17"/>
        </w:rPr>
        <w:t xml:space="preserve">Zitiervorschlag: § 9 NW_26527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