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NW_26527 (Nordrhein-Westfalen)</w:t>
      </w:r>
    </w:p>
    <w:p>
      <w:r>
        <w:rPr>
          <w:color w:val="555555"/>
          <w:sz w:val="18"/>
        </w:rPr>
        <w:t xml:space="preserve">Verordnung über die Führung des Landeswappens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große Landessiegel zeigt in der Mitte das Landeswappen, umgeben von zwei kreisförmigen Randleisten, zwischen denen die Beschriftung in großen Antiqua-Buchstaben angebracht ist. Es wird nur als Prägesiegel verwendet (Muster 2).</w:t>
      </w:r>
    </w:p>
    <w:p>
      <w:r>
        <w:t xml:space="preserve">(2) Das große Landessiegel verwenden die in § 2 Abs. 1 unter a) bis d) aufgeführten wappenführenden Stellen bei feierlichen Beurkundungen.</w:t>
      </w:r>
    </w:p>
    <w:p>
      <w:r>
        <w:rPr>
          <w:color w:val="555555"/>
          <w:sz w:val="17"/>
        </w:rPr>
        <w:t xml:space="preserve">Zitiervorschlag: § 3 NW_26527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