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NW_26527 (Nordrhein-Westfalen)</w:t>
      </w:r>
    </w:p>
    <w:p>
      <w:r>
        <w:rPr>
          <w:color w:val="555555"/>
          <w:sz w:val="18"/>
        </w:rPr>
        <w:t xml:space="preserve">Verordnung über die Führung des Landeswappens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heraldische Gestaltung des Landeswappens ist das in der Anlage wiedergegebene Muster 1 maßgebend. Die künstlerische Gestaltung für besondere Zwecke bleibt vorbehalten.</w:t>
      </w:r>
    </w:p>
    <w:p>
      <w:r>
        <w:t xml:space="preserve">(2) Die Abbildung und Verwendung des Landeswappens zu anderen als künstlerischen, kunstgewerblichen oder heraldischen und wissenschaftlichen Zwecken bedürfen der Genehmigung des für Inneres zuständigen Ministeriums.</w:t>
      </w:r>
    </w:p>
    <w:p>
      <w:r>
        <w:rPr>
          <w:color w:val="555555"/>
          <w:sz w:val="17"/>
        </w:rPr>
        <w:t xml:space="preserve">Zitiervorschlag: § 1 NW_26527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https://recht.nulegal.eu/gesetze/NW_26527/1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