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NW_26525 (Nordrhein-Westfalen)</w:t>
      </w:r>
    </w:p>
    <w:p>
      <w:r>
        <w:rPr>
          <w:color w:val="555555"/>
          <w:sz w:val="18"/>
        </w:rPr>
        <w:t xml:space="preserve">Erlaß des Ministerpräsidenten über die Vorbereitung der Vorschläge für die Verleihung des Grubenwehr- Ehrenzeichens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November 1953</w:t>
      </w:r>
    </w:p>
    <w:p>
      <w:r>
        <w:t xml:space="preserve">Auf Grund des § 1 der Durchführungsbestimmungen des Bundespräsidenten zum Erlaß über die Stiftung des Grubenwehr-Ehrenzeichens vom 14. Juli 1953 (BGBl. I S. 663) bestimme ich folgendes:</w:t>
      </w:r>
    </w:p>
    <w:p>
      <w:r>
        <w:rPr>
          <w:color w:val="555555"/>
          <w:sz w:val="17"/>
        </w:rPr>
        <w:t xml:space="preserve">Zitiervorschlag: Volltext NW_26525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