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NW_26525 (Nordrhein-Westfalen)</w:t>
      </w:r>
    </w:p>
    <w:p>
      <w:r>
        <w:rPr>
          <w:color w:val="555555"/>
          <w:sz w:val="18"/>
        </w:rPr>
        <w:t xml:space="preserve">Erlaß des Ministerpräsidenten über die Vorbereitung der Vorschläge für die Verleihung des Grubenwehr- Ehrenzeichens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Ermittlungsergebnis ist mit einer Äußerung über die in Betracht kommende Stufe des Grubenwehr-Ehrenzeichens auf dem Dienstwege dem Minister für Wirtschaft und Verkehr vorzulegen, der den Vorschlag vorbereitet.</w:t>
      </w:r>
    </w:p>
    <w:p>
      <w:r>
        <w:rPr>
          <w:color w:val="555555"/>
          <w:sz w:val="17"/>
        </w:rPr>
        <w:t xml:space="preserve">Zitiervorschlag: § 3 NW_26525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