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NW_26523 (Nordrhein-Westfalen)</w:t>
      </w:r>
    </w:p>
    <w:p>
      <w:r>
        <w:rPr>
          <w:color w:val="555555"/>
          <w:sz w:val="18"/>
        </w:rPr>
        <w:t xml:space="preserve">Gesetz über die Landesfarben, das Landeswappen und die Landesflagge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für Inneres zuständige Ministerium erlässt die zur Ausführung dieses Gesetzes erforderlichen Rechtsverordnungen. Dabei soll insbesondere geregelt werden:</w:t>
      </w:r>
    </w:p>
    <w:p>
      <w:r>
        <w:t xml:space="preserve">1. die Berechtigung zur Führung des Landeswappens,</w:t>
      </w:r>
    </w:p>
    <w:p>
      <w:r>
        <w:t xml:space="preserve">2. die Berechtigung zur Führung von Dienstsiegeln,</w:t>
      </w:r>
    </w:p>
    <w:p>
      <w:r>
        <w:t xml:space="preserve">3. die Ausgestaltung von Amtsschildern,</w:t>
      </w:r>
    </w:p>
    <w:p>
      <w:r>
        <w:t xml:space="preserve">4. das Aussehen des Landeswappens in vereinfachter Form,</w:t>
      </w:r>
    </w:p>
    <w:p>
      <w:r>
        <w:t xml:space="preserve">5. das Aussehen und die Verwendung des Nordrhein-Westfalen-Zeichens und des Polizeisterns; im Falle einer missbräuchlichen Verwendung des Nordrhein-Westfalen-Zeichens die Ahndung als Ordnungswidrigkeit mit einer Geldbuße bis zu 50 000 Euro.</w:t>
      </w:r>
    </w:p>
    <w:p>
      <w:r>
        <w:rPr>
          <w:color w:val="555555"/>
          <w:sz w:val="17"/>
        </w:rPr>
        <w:t xml:space="preserve">Zitiervorschlag: § 5 NW_26523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https://recht.nulegal.eu/gesetze/NW_26523/5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