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NW_26522 (Nordrhein-Westfalen)</w:t>
      </w:r>
    </w:p>
    <w:p>
      <w:r>
        <w:rPr>
          <w:color w:val="555555"/>
          <w:sz w:val="18"/>
        </w:rPr>
        <w:t xml:space="preserve">Verordnung über die Wahlorgane für die Bundestagswahlen und die Europawahlen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NW_26522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