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NW_26522 (Nordrhein-Westfalen)</w:t>
      </w:r>
    </w:p>
    <w:p>
      <w:r>
        <w:rPr>
          <w:color w:val="555555"/>
          <w:sz w:val="18"/>
        </w:rPr>
        <w:t xml:space="preserve">Verordnung über die Wahlorgane für die Bundestagswahlen und die Europawahlen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Feststellung des Briefwahlergebnisses werden Wahlvorsteher und Wahlvorstände für jede Gemeinde eingesetzt statt für jeden Wahlkreis bei Bundestagswahlen oder jeden Kreis bei Europawahlen.</w:t>
      </w:r>
    </w:p>
    <w:p>
      <w:r>
        <w:rPr>
          <w:color w:val="555555"/>
          <w:sz w:val="17"/>
        </w:rPr>
        <w:t xml:space="preserve">Zitiervorschlag: § 2 NW_26522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