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NW_26521 (Nordrhein-Westfalen) — Wahlscheine, Briefwahlunterlagen</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Europawahl und für die Kommunalwahlen sind zwei getrennte Wahlscheine zu erteilen, die sich farblich deutlich unterscheiden. Über die erteilten Wahlscheine für die Europawahl und die Kommunalwahlen kann ein gemeinsames Wahlscheinverzeichnis geführt werden; dies gilt auch für besondere Wahlscheinverzeichnisse nach § 27 Abs. 6 Satz 5 EuWO und § 20 Abs. 7 Satz 5. Über die für ungültig erklärten Wahlscheine kann ein gemeinsames Verzeichnis nach § 27 Abs. 8 Satz 2 EuWO und § 20 Abs. 8 Satz 2 geführt werden, wenn die Mitglieder des Briefwahlvorstandes für die Europawahl zugleich zu Mitgliedern des Briefwahlvorstandes für die Kommunalwahlen berufen werden.</w:t>
      </w:r>
    </w:p>
    <w:p>
      <w:r>
        <w:t xml:space="preserve">(2) Bei der Briefwahl muss sich die Farbe des Stimmzettelumschlages und des Wahlbriefumschlages für die Kommunalwahlen deutlich von der Farbe des Stimmzettelumschlages und des Wahlbriefumschlages für die Europawahl unterscheiden. Die Farbhinweise auf den Briefwahlunterlagen und die Farben auf der Rückseite des Merkblatts für die Briefwahl (Anlagen 8a bis 8c) sind entsprechend zu ändern.</w:t>
      </w:r>
    </w:p>
    <w:p>
      <w:r>
        <w:t xml:space="preserve">(3) Die Briefwahlunterlagen einschließlich der Stimmzettelumschläge und der Wahlbriefumschläge für die Kommunalwahlen sind durch den Aufdruck „Kommunalwahlen“ zu kennzeichnen.</w:t>
      </w:r>
    </w:p>
    <w:p>
      <w:r>
        <w:rPr>
          <w:color w:val="555555"/>
          <w:sz w:val="17"/>
        </w:rPr>
        <w:t xml:space="preserve">Zitiervorschlag: § 90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https://recht.nulegal.eu/gesetze/NW_26521/90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