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89 NW_26521 (Nordrhein-Westfalen) — Stimmzettel, Wahlurne, Verfahren bei der Stimmabgabe</w:t>
      </w:r>
    </w:p>
    <w:p>
      <w:r>
        <w:rPr>
          <w:color w:val="555555"/>
          <w:sz w:val="18"/>
        </w:rPr>
        <w:t xml:space="preserve">KWahlO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jede Wahl wird mit einem gesonderten Stimmzettel gewählt.</w:t>
      </w:r>
    </w:p>
    <w:p>
      <w:r>
        <w:t xml:space="preserve">(2) Die Stimmzettel für die Kommunalwahlen müssen sich farblich deutlich von den Stimmzetteln für die Europawahl unterscheiden.</w:t>
      </w:r>
    </w:p>
    <w:p>
      <w:r>
        <w:t xml:space="preserve">(3) Für die Europawahl und für die Kommunalwahlen können im Stimmbezirk dieselben Wahlurnen benutzt werden.</w:t>
      </w:r>
    </w:p>
    <w:p>
      <w:r>
        <w:t xml:space="preserve">(4) Das Verfahren bei der Stimmabgabe (Aushändigung der Stimmzettel, Prüfung der Wahlberechtigung) richtet sich nach § 49 EuWO; § 40 findet insoweit keine Anwendung.</w:t>
      </w:r>
    </w:p>
    <w:p>
      <w:r>
        <w:rPr>
          <w:color w:val="555555"/>
          <w:sz w:val="17"/>
        </w:rPr>
        <w:t xml:space="preserve">Zitiervorschlag: § 89 NW_26521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https://recht.nulegal.eu/gesetze/NW_26521/89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