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NW_26521 (Nordrhein-Westfalen) — Stimmbezirk, Wahlraum, Wahlorgane</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Stimmbezirke für die Kommunalwahlen müssen mit den Wahlbezirken für die Europawahl übereinstimmen.</w:t>
      </w:r>
    </w:p>
    <w:p>
      <w:r>
        <w:t xml:space="preserve">(2) Die Wahlräume müssen für die verbundenen Wahlen dieselben sein.</w:t>
      </w:r>
    </w:p>
    <w:p>
      <w:r>
        <w:t xml:space="preserve">(3) Die nach den bundesrechtlichen Vorschriften für die Europawahl zu bestellenden Mitglieder der Wahlorgane können zugleich Mitglieder der Wahlorgane für die Kommunalwahlen sein, sofern sie die Voraussetzungen hierfür erfüllen. Wenn von der Möglichkeit eines gemeinsamen Wahlvorstandes Gebrauch gemacht wird, sind die zu Mitgliedern des Wahlvorstandes für die Europawahl berufenen Personen zugleich als Mitglieder des Wahlvorstandes für die Kommunalwahlen zu bestellen. Bei der Briefwahl kann ebenso verfahren werden.</w:t>
      </w:r>
    </w:p>
    <w:p>
      <w:r>
        <w:rPr>
          <w:color w:val="555555"/>
          <w:sz w:val="17"/>
        </w:rPr>
        <w:t xml:space="preserve">Zitiervorschlag: § 86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https://recht.nulegal.eu/gesetze/NW_26521/86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