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75o NW_26521 (Nordrhein-Westfalen) — Nachwahlen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Betrifft im Wahlgebiet des Regionalverbands Ruhr der Hinderungsgrund für die Durchführung einer Ratswahl (§ 21 Absatz 1 des Gesetzes) die Wahl der Verbandsversammlung nicht, findet diese statt. Anderenfalls findet auch die Nachwahl der Verbandsversammlung des Regionalverbands Ruhr in dieser Gemeinde am Tag der Nachwahl des Rates statt.</w:t>
      </w:r>
    </w:p>
    <w:p>
      <w:r>
        <w:t xml:space="preserve">XII. Allgemeine Vorschriften</w:t>
      </w:r>
    </w:p>
    <w:p>
      <w:r>
        <w:rPr>
          <w:color w:val="555555"/>
          <w:sz w:val="17"/>
        </w:rPr>
        <w:t xml:space="preserve">Zitiervorschlag: § 75o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https://recht.nulegal.eu/gesetze/NW_26521/75o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