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75g NW_26521 (Nordrhein-Westfalen) — Stimmbezirke, Wahlvorstände, Wahlräume, Wählerverzeichnis, Wahlbenachrichtigung</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 die allgemeinen Kommunalwahlen und die Wahl der Verbandsversammlung des Regionalverbands Ruhr am selben Tag stattfinden (§ 10 Absatz 1 Satz 2 des Gesetzes über den Regionalverband Ruhr in der Fassung der Bekanntmachung vom 3. Februar 2004 (GV. NRW. S. 96) in der jeweils geltenden Fassung), müssen in den betroffenen Gemeinden die Stimmbezirke, die Wahlvorstände und die Wahlräume für diese Wahlen dieselben sein.</w:t>
      </w:r>
    </w:p>
    <w:p>
      <w:r>
        <w:t xml:space="preserve">(2) Für die Wahlen nach Absatz 1 wird ein einheitliches Wählerverzeichnis erstellt und zur Einsicht bereitgehalten. Der Abschluss des Wählerverzeichnisses gemäß § 18 ist für diese Wahlen gemeinsam zu beurkunden.</w:t>
      </w:r>
    </w:p>
    <w:p>
      <w:r>
        <w:t xml:space="preserve">(3) Die Wahlbenachrichtigungen für die allgemeinen Kommunalwahlen und für die Wahl der Verbandsversammlung des Regionalverbands Ruhr sind miteinander zu verbinden. Der Wahlbenachrichtigung soll ein Vordruck für einen Antrag auf Erteilung eines gemeinsamen Wahlscheins für die allgemeinen Kommunalwahlen und die Wahl der Verbandsversammlung des Regionalverbands Ruhr nach Anlage 3 beigefügt werden.</w:t>
      </w:r>
    </w:p>
    <w:p>
      <w:r>
        <w:rPr>
          <w:color w:val="555555"/>
          <w:sz w:val="17"/>
        </w:rPr>
        <w:t xml:space="preserve">Zitiervorschlag: § 75g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https://recht.nulegal.eu/gesetze/NW_26521/75g</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