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75e NW_26521 (Nordrhein-Westfalen) — Abwahl von Bürgermeistern und Landräten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Wahlleiter macht den Beschluss der Vertretung über den Termin der Abstimmung über die Abwahl sowie die für ihre Vorbereitung maßgebenden Fristen und Termine unverzüglich bekannt.</w:t>
      </w:r>
    </w:p>
    <w:p>
      <w:r>
        <w:t xml:space="preserve">(2) Bei der Abstimmung ist mit ,ja' oder ,nein' zu stimmen; es sind Stimmzettel nach dem Muster der Anlage 17 f zu verwenden. Die Stimmzettel müssen so groß sein, dass alle Angaben übersichtlich erscheinen. § 32 Absatz 3 und 6 gilt entsprechend.</w:t>
      </w:r>
    </w:p>
    <w:p>
      <w:r>
        <w:t xml:space="preserve">XI b. Wahl der Verbandsversammlung des Regionalverbands Ruhr</w:t>
      </w:r>
    </w:p>
    <w:p>
      <w:r>
        <w:rPr>
          <w:color w:val="555555"/>
          <w:sz w:val="17"/>
        </w:rPr>
        <w:t xml:space="preserve">Zitiervorschlag: § 75e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https://recht.nulegal.eu/gesetze/NW_26521/75e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