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75d NW_26521 (Nordrhein-Westfalen) — Anwendung einzelner Bestimmungen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gelten</w:t>
      </w:r>
    </w:p>
    <w:p>
      <w:r>
        <w:t xml:space="preserve">1. § 13 Absatz 2 Nummer 8, § 20 Absatz 4, Absatz 7 Satz 3 und Absatz 8 Satz 3, § 21 Absatz 1 Satz 1 und Absatz 2 mit der Maßgabe,</w:t>
      </w:r>
    </w:p>
    <w:p>
      <w:r>
        <w:t xml:space="preserve">dass an die Stelle des Wahlbezirks jeweils das Wahlgebiet tritt;</w:t>
      </w:r>
    </w:p>
    <w:p>
      <w:r>
        <w:t xml:space="preserve">2. § 45 Absatz 1, § 46 Absatz 1 und § 48 Absatz 1 mit der Maßgabe,</w:t>
      </w:r>
    </w:p>
    <w:p>
      <w:r>
        <w:t xml:space="preserve">dass an die Stelle des Wahlbezirks jeweils das Wahlgebiet tritt;</w:t>
      </w:r>
    </w:p>
    <w:p>
      <w:r>
        <w:t xml:space="preserve">3. § 49 Absatz 1 Satz 1 mit der Maßgabe,</w:t>
      </w:r>
    </w:p>
    <w:p>
      <w:r>
        <w:t xml:space="preserve">dass bei gleichzeitig stattfindenden Wahlen mit der kommunalen Vertretung jeweils zuerst das Wahlergebnis für die Wahl des Landrats und des (Ober-) Bürgermeisters festzustellen ist;</w:t>
      </w:r>
    </w:p>
    <w:p>
      <w:r>
        <w:t xml:space="preserve">4. § 53 Absatz 3 mit der Maßgabe,</w:t>
      </w:r>
    </w:p>
    <w:p>
      <w:r>
        <w:t xml:space="preserve">dass die Ergebnisse der Oberbürgermeister- und Landratswahlen dem für Inneres zuständigen Ministerium nach dem Muster der Anlage 24b zu übermitteln sind;</w:t>
      </w:r>
    </w:p>
    <w:p>
      <w:r>
        <w:t xml:space="preserve">5. § 58 Absatz 3 Satz 1 mit der Maßgabe,</w:t>
      </w:r>
    </w:p>
    <w:p>
      <w:r>
        <w:t xml:space="preserve">dass die Briefwahlniederschrift nach dem Muster der Anlage 19c zu fertigen ist;</w:t>
      </w:r>
    </w:p>
    <w:p>
      <w:r>
        <w:t xml:space="preserve">6. § 61 Absatz 3 mit der Maßgabe,</w:t>
      </w:r>
    </w:p>
    <w:p>
      <w:r>
        <w:t xml:space="preserve">dass an Stelle der Feststellungen nach den Nummern 4 bis 7 die auf die Bewerber jeweils entfallenen Stimmen und der nach § 46 c Absatz 1 des Gesetzes gewählte Bewerber oder das Erfordernis einer Stichwahl unter den gemäß § 46 c Absatz 2 Satz 1 des Gesetzes zu beteiligenden Bewerbern festzustellen ist,</w:t>
      </w:r>
    </w:p>
    <w:p>
      <w:r>
        <w:t xml:space="preserve">7. § 61 Absatz 5 Satz 1 mit der Maßgabe,</w:t>
      </w:r>
    </w:p>
    <w:p>
      <w:r>
        <w:t xml:space="preserve">dass über die Feststellung des Wahlergebnisses eine Niederschrift nach dem Muster der Anlage 26c anzufertigen ist;</w:t>
      </w:r>
    </w:p>
    <w:p>
      <w:r>
        <w:t xml:space="preserve">8. § 75 mit der Maßgabe,</w:t>
      </w:r>
    </w:p>
    <w:p>
      <w:r>
        <w:t xml:space="preserve">dass Absatz 9 keine entsprechende Anwendung findet.</w:t>
      </w:r>
    </w:p>
    <w:p>
      <w:r>
        <w:rPr>
          <w:color w:val="555555"/>
          <w:sz w:val="17"/>
        </w:rPr>
        <w:t xml:space="preserve">Zitiervorschlag: § 75d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https://recht.nulegal.eu/gesetze/NW_26521/75d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