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75b NW_26521 (Nordrhein-Westfalen) — Wahlvorschläge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Wahlleiter fordert zur Einreichung von Wahlvorschlägen durch öffentliche Bekanntmachung auf. Findet die Wahl gleichzeitig mit der Wahl einer kommunalen Vertretung statt, kann die Bekanntmachung mit der Bekanntmachung gemäß § 24 verbunden werden.</w:t>
      </w:r>
    </w:p>
    <w:p>
      <w:r>
        <w:t xml:space="preserve">(2) Der Wahlvorschlag soll nach dem Muster der Anlage 11d eingereicht werden. Er muss enthalten:</w:t>
      </w:r>
    </w:p>
    <w:p>
      <w:r>
        <w:t xml:space="preserve">1. den Namen und gegebenenfalls die Kurzbezeichnung der Partei oder Wählergruppe, die den Wahlvorschlag einreicht; andere Wahlvorschläge können auch durch ein Kennwort des Wahlvorschlagsträgers gekennzeichnet werden und</w:t>
      </w:r>
    </w:p>
    <w:p>
      <w:r>
        <w:t xml:space="preserve">2. Familiennamen, Vornamen, Beruf, Geburtsdatum, Geburtsort, Anschrift (Hauptwohnung), E-Mail-Adresse, Telefonnummer sowie Staatsangehörigkeit des Bewerbers; bei mehreren Vornamen kann eine Angabe erfolgen, unter welchem Vornamen der Bewerber auf dem Stimmzettel anzugeben ist.</w:t>
      </w:r>
    </w:p>
    <w:p>
      <w:r>
        <w:t xml:space="preserve">Der Wahlvorschlag einer Partei oder Wählergruppe muss nach § 15 Absatz 2 Satz 1 des Gesetzes von der für das Wahlgebiet zum Zeitpunkt der Einreichung zuständigen Leitung unterzeichnet sein. Bei anderen Wahlvorschlägen muss der Unterzeichner des Wahlvorschlags im Wahlgebiet wahlberechtigt sein; § 46d Absatz 1 Satz 2 des Gesetzes bleibt unberührt. Aus dem Wahlvorschlag sollen ferner Namen, Anschrift, Telefonnummer und E-Mail-Adresse der Vertrauensperson und der stellvertretenden Vertrauensperson hervorgehen.</w:t>
      </w:r>
    </w:p>
    <w:p>
      <w:r>
        <w:t xml:space="preserve">(3) § 26 Absatz 3 gilt sinngemäß. Die Unterstützungsunterschriften sind auf amtlichen Formblättern nach Anlage 14c zu erbringen; bei der Anforderung der Formblätter ist die Bezeichnung des Wahlvorschlagsträgers, bei Parteien und Wählergruppen auch deren Kurzbezeichnung, anzugeben.</w:t>
      </w:r>
    </w:p>
    <w:p>
      <w:r>
        <w:t xml:space="preserve">(4) § 26 Absatz 4 Nummer 1 bis 4 gilt mit der Maßgabe sinngemäß, dass die Zustimmungserklärung nach dem Muster der Anlage 12c abzugeben ist und der Bewerber darauf zu versichern hat, dass er für keine andere Wahl zum Bürgermeister oder Landrat kandidiert. Für die Bescheinigung der Wählbarkeit durch die zuständige Gemeinde ist das Muster der Anlage 13b zu verwenden. Die Niederschrift über die Versammlung der Partei oder Wählergruppe zur Aufstellung des Bewerbers soll nach dem Muster der Anlage 9c gefertigt, die Versicherung an Eides statt nach dem Muster der Anlage 10c abgegeben werden.</w:t>
      </w:r>
    </w:p>
    <w:p>
      <w:r>
        <w:t xml:space="preserve">(5) § 26 Absatz 5a bis 5d gilt entsprechend.</w:t>
      </w:r>
    </w:p>
    <w:p>
      <w:r>
        <w:t xml:space="preserve">(6) Für gemeinsame Wahlvorschläge nach § 46d Absatz 3 des Gesetzes gelten die Absätze 2 bis 5 entsprechend. Es sind dabei jeweils alle Wahlvorschlagsträger zu benennen. Ein gemeinsamer Wahlvorschlag muss von der jeweiligen für das Wahlgebiet zum Zeitpunkt der Einreichung zuständigen Leitung aller Wahlvorschlagsträger unterzeichnet sein. Unterstützungsunterschriften nach dem Muster der Anlage 14c sind beizubringen, wenn keiner der Wahlvorschlagsträger die Voraussetzungen des § 15 Absatz 2 Satz 2 des Gesetzes erfüllt.</w:t>
      </w:r>
    </w:p>
    <w:p>
      <w:r>
        <w:t xml:space="preserve">(7) Für die Vorprüfung und die Zulassung der Wahlvorschläge gelten die §§ 27 bis 29 entsprechend. Der Wahlausschuss prüft bei den Wählbarkeitsvoraussetzungen der Bewerber auch, ob diese die nach § 65 Absatz 2 Satz 1 der Gemeindeordnung für das Land Nordrhein-Westfalen beziehungsweise § 44 Absatz 2 Satz 1 der Kreisordnung für das Land Nordrhein-Westfalen notwendige Gewähr dafür bieten, jederzeit für die freiheitlich demokratische Grundordnung im Sinne des Grundgesetzes einzutreten.</w:t>
      </w:r>
    </w:p>
    <w:p>
      <w:r>
        <w:t xml:space="preserve">(8) Der Wahlleiter macht die zugelassenen Wahlvorschläge mit den in Absatz 2 Satz 2 enthaltenen Angaben mit Ausnahme der Staatsangehörigkeit bekannt; statt des Geburtsdatums ist jeweils nur das Geburtsjahr und statt der vollständigen Anschrift sind der Wohnort mit Postleitzahl und die E-Mail-Adresse des Bewerbers anzugeben. § 30 Satz 2 gilt entsprechend.</w:t>
      </w:r>
    </w:p>
    <w:p>
      <w:r>
        <w:rPr>
          <w:color w:val="555555"/>
          <w:sz w:val="17"/>
        </w:rPr>
        <w:t xml:space="preserve">Zitiervorschlag: § 75b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