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NW_26521 (Nordrhein-Westfalen) — Ermittlung des Ergebnisses der Briefwahl durch den Briefwahlvorstand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vom Bürgermeister angeordnet, daß der Briefwahlvorstand auch das Ergebnis der Briefwahl ermittelt (§ 57 Abs. 3), so finden § 58 Abs. 6 und § 59 Abs. 1 und 3 keine Anwendung. Mit der Ermittlung des Ergebnisses der Briefwahl darf nicht vor Abschluß der Tätigkeit des Briefwahlvorstandes nach § 58 Abs. 1 bis 5 und nicht vor Schluß der allgemeinen Wahlzeit begonnen werden. Im übrigen gelten die allgemeinen Vorschriften sinngemäß. Die Niederschrift über die Tätigkeit des Briefwahlvorstandes ist nach dem Muster der Anlage 20 a zu ergänzen.</w:t>
      </w:r>
    </w:p>
    <w:p>
      <w:r>
        <w:t xml:space="preserve">VIII. Verteilung der Sitze</w:t>
      </w:r>
    </w:p>
    <w:p>
      <w:r>
        <w:rPr>
          <w:color w:val="555555"/>
          <w:sz w:val="17"/>
        </w:rPr>
        <w:t xml:space="preserve">Zitiervorschlag: § 60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https://recht.nulegal.eu/gesetze/NW_26521/60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