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NW_26521 (Nordrhein-Westfalen) — Aufgaben des Bürgermeisters bei der Briefwahl</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sammelt die Wahlbriefe ungeöffnet und hält sie unter Verschluß. Er vermerkt auf jedem am Wahltage nach 16.00 Uhr eingegangenen Wahlbrief Tag und Uhrzeit des Eingangs, auf den vom nächsten Tag an eingehenden Wahlbriefen nur den Eingangstag.</w:t>
      </w:r>
    </w:p>
    <w:p>
      <w:r>
        <w:t xml:space="preserve">(2) Der Bürgermeister ordnet die Wahlbriefe nach den darauf vermerkten Wahlbezirken und gegebenenfalls nach den darauf verzeichneten Wahlscheinnummern und übergibt sie am Wahltage dem Briefwahlvorstand oder, falls mehrere Briefwahlvorstände eingesetzt werden, verteilt sie auf die Briefwahlvorstände. Er übergibt jedem Briefwahlvorstand das Verzeichnis über die in den ihm zugeteilten Wahlbezirken für ungültig erklärten Wahlscheine sowie die Nachträge dazu oder die Mitteilung, daß keine Wahlscheine für ungültig erklärt worden sind. Jeder Briefwahlvorstand erhält so viele Wahlurnen, wie ihm Wahlbezirke zugeteilt sind; hierfür können kleinere Wahlurnen verwendet werden. Auf jeder Wahlurne muß der Wahlbezirk deutlich sichtbar bezeichnet sein.</w:t>
      </w:r>
    </w:p>
    <w:p>
      <w:r>
        <w:t xml:space="preserve">(3) In Wahlbezirken, die gemäß § 5 Abs. 1 des Gesetzes in mehrere Stimmbezirke eingeteilt sind, dürfen Wahlvorstände von Stimmbezirken, die an der repräsentativen Wahlstatistik (§ 50 Abs. 2 des Gesetzes) oder an wahlstatistischen Auszählungen (§ 50 Abs. 4 des Gesetzes) teilnehmen, nicht mit der Feststellung des Briefwahlergebnisses für Stimmbezirke beauftragt werden, die daran nicht teilnehmen. Ist zu erwarten, daß für Wahlbezirke 50 oder mehr Wahlbriefe eingehen werden, so kann der Bürgermeister anordnen, daß für diese Wahlbezirke der Briefwahlvorstand auch das Ergebnis der Briefwahl ermittelt.</w:t>
      </w:r>
    </w:p>
    <w:p>
      <w:r>
        <w:t xml:space="preserve">(4) Verspätet eingegangene Wahlbriefe werden vom Bürgermeister angenommen, mit den in Absatz 1 vorgeschriebenen Vermerken versehen und ungeöffnet verpackt. Das Paket wird vom Bürgermeister versiegelt, mit Inhaltsangabe versehen und verwahrt, bis die Wahl unanfechtbar geworden ist. Der Bürgermeister hat sicherzustellen, dass das Paket Unbefugten nicht zugänglich ist.</w:t>
      </w:r>
    </w:p>
    <w:p>
      <w:r>
        <w:rPr>
          <w:color w:val="555555"/>
          <w:sz w:val="17"/>
        </w:rPr>
        <w:t xml:space="preserve">Zitiervorschlag: § 57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