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NW_26521 (Nordrhein-Westfalen) — Briefwahl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durch Briefwahl wählt,</w:t>
      </w:r>
    </w:p>
    <w:p>
      <w:r>
        <w:t xml:space="preserve">- kennzeichnet persönlich den Stimmzettel, bei verbundenen Wahlen die Stimmzettel, legt ihn oder sie in den amtlichen Stimmzettelumschlag und verschließt diesen,</w:t>
      </w:r>
    </w:p>
    <w:p>
      <w:r>
        <w:t xml:space="preserve">- unterzeichnet die auf dem Wahlschein vorgedruckte Versicherung an Eides Statt zur Briefwahl unter Angabe des Tages,</w:t>
      </w:r>
    </w:p>
    <w:p>
      <w:r>
        <w:t xml:space="preserve">- steckt den verschlossenen amtlichen Stimmzettelumschlag und den unterschriebenen Wahlschein in den amtlichen Wahlbriefumschlag,</w:t>
      </w:r>
    </w:p>
    <w:p>
      <w:r>
        <w:t xml:space="preserve">- verschließt den Wahlbriefumschlag und</w:t>
      </w:r>
    </w:p>
    <w:p>
      <w:r>
        <w:t xml:space="preserve">- übersendet den Wahlbrief an den Bürgermeister. Der Wahlbrief kann dort auch abgegeben werden. Nach Eingang des Wahlbriefes beim Bürgermeister darf er nicht mehr zurückgegeben werden.</w:t>
      </w:r>
    </w:p>
    <w:p>
      <w:r>
        <w:t xml:space="preserve">(2) Der Stimmzettel ist unbeobachtet zu kennzeichnen und in den Stimmzettelumschlag zu legen; § 40 Abs. 7 gilt entsprechend, wobei an die Stelle des Wahlvorstands Bedienstete der Gemeindebehörde treten. Für die Stimmabgabe von Wählern mit Behinderung gilt § 41 entsprechend. Hat der Wähler den Stimmzettel durch eine Hilfsperson kennzeichnen lassen, so hat diese auf dem Wahlschein durch Unterschreiben der Versicherung an Eides Statt zur Briefwahl zu bestätigen, daß sie den Stimmzettel gemäß dem erklärten Willen des Wählers gekennzeichnet hat (§ 26 Abs. 2 Satz 1 des Gesetzes). Die Hilfsperson muss das 16. Lebensjahr vollendet haben.</w:t>
      </w:r>
    </w:p>
    <w:p>
      <w:r>
        <w:t xml:space="preserve">(3) In Krankenhäusern, Altenheimen, Altenwohnheimen, Pflegeheimen, Erholungsheimen, sozialtherapeutischen Anstalten und Justizvollzugsanstalten sowie Gemeinschaftsunterkünften ist Vorsorge zu treffen, daß der Stimmzettel unbeobachtet gekennzeichnet und in den Stimmzettelumschlag gelegt werden kann. Die Leitung der Einrichtung bestimmt einen geeigneten Raum, veranlaßt dessen Ausstattung und gibt den Wahlberechtigten bekannt, in welcher Zeit der Raum für die Ausübung der Briefwahl zur Verfügung steht. § 40 Abs. 7 gilt entsprechend, wobei an die Stelle des Wahlvorstands Bedienstete der Gemeindebehörde treten.</w:t>
      </w:r>
    </w:p>
    <w:p>
      <w:r>
        <w:t xml:space="preserve">(4) Der Bürgermeister weist die Leitungen der Einrichtungen spätestens am 13. Tage vor der Wahl auf die Regelung des Absatzes 3 hin.</w:t>
      </w:r>
    </w:p>
    <w:p>
      <w:r>
        <w:t xml:space="preserve">(5) Die Gemeinde sorgt dafür, dass den Wahlberechtigten bei der Übersendung des amtlichen Wahlbriefumschlages ohne besondere Versendungsform innerhalb des Bundesgebietes keine Portokosten entstehen. Der Bürgermeister hat vor der Wahl öffentlich bekannt zu machen, bei welchem oder welchen Versandunternehmen die Wahlberechtigten den amtlichen Wahlbriefumschlag ohne besondere Versendungsform innerhalb des Bundesgebietes unentgeltlich einliefern können.</w:t>
      </w:r>
    </w:p>
    <w:p>
      <w:r>
        <w:rPr>
          <w:color w:val="555555"/>
          <w:sz w:val="17"/>
        </w:rPr>
        <w:t xml:space="preserve">Zitiervorschlag: § 56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