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NW_26521 (Nordrhein-Westfalen) — Schnellmeldungen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Sobald das Wahlergebnis im Stimmbezirk ermittelt ist, meldet es der Wahlvorsteher dem Wahlleiter der Gemeinde. Dieser meldet das Ergebnis der Kreiswahl in der Gemeinde dem Wahlleiter des Kreises.</w:t>
      </w:r>
    </w:p>
    <w:p>
      <w:r>
        <w:t xml:space="preserve">(2) Die Meldung wird auf schnellstem Weg nach dem Muster der Anlage 23 erstattet. Sie enthält folgende Zahlen:</w:t>
      </w:r>
    </w:p>
    <w:p>
      <w:r>
        <w:t xml:space="preserve">1. Wahlberechtigte (Zahl der in den Wählerverzeichnissen eingetragenen Wahlberechtigten),</w:t>
      </w:r>
    </w:p>
    <w:p>
      <w:r>
        <w:t xml:space="preserve">2. Wähler,</w:t>
      </w:r>
    </w:p>
    <w:p>
      <w:r>
        <w:t xml:space="preserve">3. ungültige Stimmen,</w:t>
      </w:r>
    </w:p>
    <w:p>
      <w:r>
        <w:t xml:space="preserve">4. gültige Stimmen,</w:t>
      </w:r>
    </w:p>
    <w:p>
      <w:r>
        <w:t xml:space="preserve">5. die für die einzelnen Bewerber sowie die für die einzelnen Parteien und Wählergruppen abgegebenen Stimmen.</w:t>
      </w:r>
    </w:p>
    <w:p>
      <w:r>
        <w:t xml:space="preserve">(3) Die Ergebnisse der Gemeindewahlen in kreisfreien Städten und der Kreiswahlen werden von dem zuständigen Wahlleiter auf schnellstem Weg dem für Inneres zuständigen Ministerium nach dem Muster der Anlage 24 a übermittelt.</w:t>
      </w:r>
    </w:p>
    <w:p>
      <w:r>
        <w:t xml:space="preserve">(4) Meldewege und informationstechnische Systeme zur Erfassung, Verarbeitung und Präsentation von Ergebnisdaten sind durch geeignete Maßnahmen der Informationssicherheit gegen Einflussnahmen von außen zu schützen.</w:t>
      </w:r>
    </w:p>
    <w:p>
      <w:r>
        <w:rPr>
          <w:color w:val="555555"/>
          <w:sz w:val="17"/>
        </w:rPr>
        <w:t xml:space="preserve">Zitiervorschlag: § 53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