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50 NW_26521 (Nordrhein-Westfalen) — Zählung der Wähler</w:t>
      </w:r>
    </w:p>
    <w:p>
      <w:r>
        <w:rPr>
          <w:color w:val="555555"/>
          <w:sz w:val="18"/>
        </w:rPr>
        <w:t xml:space="preserve">KWahlO</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Vor dem Öffnen der Wahlurne werden alle nicht benutzten Stimmzettel vom Wahltisch entfernt. Sodann werden die Stimmzettel der Wahlurne entnommen, bei verbundenen Wahlen nach ihrer Farbe sortiert, und anschließend gezählt. Zugleich werden die Stimmabgabenvermerke im Wählerverzeichnis und die eingenommenen Wahlscheine gezählt. Ergibt sich dabei auch nach wiederholter Zählung keine Übereinstimmung, so ist dies in der Wahlniederschrift anzugeben und, soweit möglich, zu erläutern. In diesem Fall gilt die Zahl der in der Wahlurne enthaltenen Stimmzettel als Zahl der Wähler.</w:t>
      </w:r>
    </w:p>
    <w:p>
      <w:r>
        <w:rPr>
          <w:color w:val="555555"/>
          <w:sz w:val="17"/>
        </w:rPr>
        <w:t xml:space="preserve">Zitiervorschlag: § 50 NW_26521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https://recht.nulegal.eu/gesetze/NW_26521/50</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